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DE" w:rsidRDefault="007A3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резу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льтатов</w:t>
      </w:r>
    </w:p>
    <w:p w:rsidR="00F404DE" w:rsidRDefault="007A3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краевой   диагностической работы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языку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   МАОУ  СОШ № 6</w:t>
      </w:r>
    </w:p>
    <w:p w:rsidR="00F404DE" w:rsidRDefault="00F404DE">
      <w:pPr>
        <w:rPr>
          <w:rFonts w:ascii="Times New Roman" w:hAnsi="Times New Roman" w:cs="Times New Roman"/>
          <w:sz w:val="28"/>
          <w:szCs w:val="28"/>
        </w:rPr>
      </w:pPr>
    </w:p>
    <w:p w:rsidR="00F404DE" w:rsidRDefault="007A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</w:t>
      </w:r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04DE" w:rsidRDefault="007A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классах  – 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F404DE" w:rsidRDefault="007A38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Краевую  диагностическую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выполняли – 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</w:p>
    <w:p w:rsidR="00F404DE" w:rsidRDefault="007A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и на диаграмме 1 </w:t>
      </w:r>
      <w:r>
        <w:rPr>
          <w:rFonts w:ascii="Times New Roman" w:hAnsi="Times New Roman" w:cs="Times New Roman"/>
          <w:sz w:val="28"/>
          <w:szCs w:val="28"/>
        </w:rPr>
        <w:t>представлены средние проценты полученных оценок по итогам работы.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404DE">
        <w:tc>
          <w:tcPr>
            <w:tcW w:w="2336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36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36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37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404DE">
        <w:tc>
          <w:tcPr>
            <w:tcW w:w="2336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7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04DE" w:rsidRDefault="00F404DE">
      <w:pPr>
        <w:rPr>
          <w:rFonts w:ascii="Times New Roman" w:hAnsi="Times New Roman" w:cs="Times New Roman"/>
          <w:sz w:val="28"/>
          <w:szCs w:val="28"/>
        </w:rPr>
      </w:pPr>
    </w:p>
    <w:p w:rsidR="00F404DE" w:rsidRDefault="007A38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5932805" cy="3719830"/>
            <wp:effectExtent l="4445" t="4445" r="6350" b="9525"/>
            <wp:docPr id="8706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04DE" w:rsidRDefault="00F404DE">
      <w:pPr>
        <w:rPr>
          <w:rFonts w:ascii="Times New Roman" w:hAnsi="Times New Roman" w:cs="Times New Roman"/>
          <w:sz w:val="28"/>
          <w:szCs w:val="28"/>
        </w:rPr>
      </w:pPr>
    </w:p>
    <w:p w:rsidR="00F404DE" w:rsidRDefault="007A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оценок по классам приведено в таблице: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404DE"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F404DE"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04DE"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04DE" w:rsidRDefault="007A3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404DE" w:rsidRDefault="00F404DE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заданий диагностической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соответствовало Федеральному компоненту государственного стандарта основного общего образования (Приказ Минобразования России от 5 марта 2004 г. № 1089) и Федеральному компоненту государственного стандарта среднего (полного)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базовый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(Приказ Минобразования России от 5 марта 2004 г. № 1089).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и учащиеся были заблаговременно информированы о структуре и содержании работы: количестве заданий, их типах, темах, проверяемых видах деятельности, критериях оценивания.</w:t>
      </w:r>
    </w:p>
    <w:p w:rsidR="00F404DE" w:rsidRDefault="00F404DE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F404DE" w:rsidRDefault="007A38E1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5939155" cy="3719830"/>
            <wp:effectExtent l="4445" t="4445" r="19050" b="9525"/>
            <wp:docPr id="8808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04DE" w:rsidRDefault="00F404DE">
      <w:pPr>
        <w:rPr>
          <w:rFonts w:ascii="Times New Roman" w:hAnsi="Times New Roman" w:cs="Times New Roman"/>
          <w:sz w:val="28"/>
          <w:szCs w:val="28"/>
        </w:rPr>
      </w:pP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 заданий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Проанализируем результаты КДР по заданиям. Варианты КДР равноценны по трудности, одинаковы по структуре, расположению заданий; под одним и тем же порядковым номером во всех вариантах работы находились задания, проверяющие одни и те же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ементы содержания.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Анализ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КДР  даёт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полагать, что знания и умения, проверяемые работой, усвоены учащимися в основном на хорошем уровне и достаточном уровне. Десятиклассники в абсолютном большинстве владеют умениями работать с отобранным языковы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материалом, представленным в виде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слов, словосочетаний и предложений.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Анализ работы показывает также, что большинство учащиеся 10 классов умеют работать на бланках ЕГЭ, правильно оформлять краткий ответ, соблюдая при этом все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инструкции. На хорошем уровне усвоен материал по нормам современного русского литературного языка (за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исключением лексических норм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задание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орфографии (за исключением правописания суффиксов разных частей речи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задание 7; и правописание личных оконча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глаголов и суффиксов причастий - задание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Существенно ниже уровень выполнения заданий по синтаксису и пунктуации. Особенно настораживает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выполнения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 знаки</w:t>
      </w:r>
      <w:proofErr w:type="gramEnd"/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препинания в ССП и простом предложении с однородными членами)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( знак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препинания в СП с разными видами связи)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вся работа по лексике и синтаксису должна быть регулярной.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При подготовке учащихся к итоговой аттестации использовать материалы, формулировки которых соответствует форме и содержанию контрольно-изм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ерительных материалах ЕГЭ текущего года.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Учителям русского языка, работающим в 1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следить за документами, в которых отражено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государственного экзамена по русскому языку 201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(спецификацией, демонстрационным вариантом,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методическими рекомендации ФИПИ) и при подготовке к КДР отработать все возможные варианты заданий с учащимися.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Следует обратить внимание на изучение и повторение следующих тем: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лексические нормы русского языка; словообразование и употребление в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аронимов;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правописание –Н-, -НН- в разных частях речи;</w:t>
      </w:r>
    </w:p>
    <w:p w:rsidR="00F404DE" w:rsidRPr="007A38E1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правописания суффиксов разных частей речи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правописание личных окончаний глаголов и суффиксов причастий; 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предложениях с обращениями, вводными словами и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конструкциями;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препинания в предложениях, осложнённых однородными членами;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предложениях с обособленными членами;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сложносочинённом предложении;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препинания в сложноподчинённом предложении;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знаки препинания в сложном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 с разными видами связи.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Уделить особое внимание обобщающему повторению синтаксиса и пунктуации, тренировать учащихся в синтаксическом анализе, владение которым способствует осознанному усвоению правил пунктуации. Занятия по изучению синтаксис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пунктуации проводить на материале текста, в том числе</w:t>
      </w:r>
      <w:r w:rsidRPr="007A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стихотворного.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Тренировать учащихся в технике заполнения ответов на задания первой части ЕГЭ.</w:t>
      </w:r>
    </w:p>
    <w:p w:rsidR="00F404DE" w:rsidRDefault="007A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Тренировать учащихся в рациональном распределении времени при выполнении диагностической работы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дготовке к экзамену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4DE" w:rsidRDefault="00F40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4DE" w:rsidRDefault="007A38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ШМО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404DE" w:rsidRDefault="007A38E1">
      <w:r>
        <w:rPr>
          <w:rFonts w:ascii="Times New Roman" w:hAnsi="Times New Roman" w:cs="Times New Roman"/>
          <w:sz w:val="28"/>
          <w:szCs w:val="28"/>
        </w:rPr>
        <w:t xml:space="preserve">Справку составила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F404DE" w:rsidRDefault="00F404DE"/>
    <w:sectPr w:rsidR="00F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730B"/>
    <w:rsid w:val="007A38E1"/>
    <w:rsid w:val="00F404DE"/>
    <w:rsid w:val="102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225B4-6C12-4744-BF18-1DD212F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59;&#1057;&#1057;&#1050;&#1048;&#1049;\&#1050;&#1044;&#1056;%20&#1088;&#1091;&#1089;%20&#1103;&#1079;%2011%20&#1082;&#1083;&#1072;&#1089;&#1089;%20&#1089;&#1086;&#1096;6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59;&#1057;&#1057;&#1050;&#1048;&#1049;\&#1050;&#1044;&#1056;%20&#1088;&#1091;&#1089;%20&#1103;&#1079;%2011%20&#1082;&#1083;&#1072;&#1089;&#1089;%20&#1089;&#1086;&#1096;6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-122"/>
                <a:ea typeface="Calibri" panose="020F0502020204030204" charset="-122"/>
                <a:cs typeface="Calibri" panose="020F0502020204030204" charset="-122"/>
              </a:defRPr>
            </a:pPr>
            <a:r>
              <a:rPr lang="ru-RU"/>
              <a:t>Распределение учащихся по уровням</a:t>
            </a:r>
            <a:endParaRPr lang="ru-RU" sz="1400" b="0" i="0" u="none" strike="noStrike" baseline="0">
              <a:solidFill>
                <a:srgbClr val="333333">
                  <a:alpha val="100000"/>
                </a:srgbClr>
              </a:solidFill>
              <a:latin typeface="Calibri" panose="020F0502020204030204" charset="-122"/>
              <a:ea typeface="Calibri" panose="020F0502020204030204" charset="-122"/>
              <a:cs typeface="Calibri" panose="020F0502020204030204" charset="-12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rgbClr val="333333">
                        <a:alpha val="100000"/>
                      </a:srgbClr>
                    </a:solidFill>
                    <a:latin typeface="Calibri" panose="020F0502020204030204" charset="-122"/>
                    <a:ea typeface="Calibri" panose="020F0502020204030204" charset="-122"/>
                    <a:cs typeface="Calibri" panose="020F0502020204030204" charset="-122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rgbClr val="000000">
                      <a:alpha val="100000"/>
                    </a:srgbClr>
                  </a:solidFill>
                  <a:prstDash val="solid"/>
                  <a:round/>
                </a:ln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'[КДР рус яз 11 класс сош6 (1).xls]Форма2'!$AA$12:$AD$12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'[КДР рус яз 11 класс сош6 (1).xls]Форма2'!$AF$8:$AI$8</c:f>
              <c:numCache>
                <c:formatCode>0.0</c:formatCode>
                <c:ptCount val="4"/>
                <c:pt idx="0">
                  <c:v>0</c:v>
                </c:pt>
                <c:pt idx="1">
                  <c:v>48.936170212766001</c:v>
                </c:pt>
                <c:pt idx="2">
                  <c:v>36.170212765957501</c:v>
                </c:pt>
                <c:pt idx="3">
                  <c:v>14.893617021276601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wrap="square" anchor="ctr" anchorCtr="1"/>
    <a:lstStyle/>
    <a:p>
      <a:pPr>
        <a:defRPr lang="en-US" sz="1000" b="0" i="0" u="none" strike="noStrike" baseline="0">
          <a:solidFill>
            <a:srgbClr val="000000">
              <a:alpha val="100000"/>
            </a:srgbClr>
          </a:solidFill>
          <a:latin typeface="Calibri" panose="020F0502020204030204" charset="-122"/>
          <a:ea typeface="Calibri" panose="020F0502020204030204" charset="-122"/>
          <a:cs typeface="Calibri" panose="020F0502020204030204" charset="-12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-122"/>
                <a:ea typeface="Calibri" panose="020F0502020204030204" charset="-122"/>
                <a:cs typeface="Calibri" panose="020F0502020204030204" charset="-122"/>
              </a:defRPr>
            </a:pPr>
            <a:r>
              <a:rPr lang="ru-RU"/>
              <a:t>% успешности решения заданий</a:t>
            </a:r>
            <a:endParaRPr lang="ru-RU" sz="1400" b="0" i="0" u="none" strike="noStrike" baseline="0">
              <a:solidFill>
                <a:srgbClr val="333333">
                  <a:alpha val="100000"/>
                </a:srgbClr>
              </a:solidFill>
              <a:latin typeface="Calibri" panose="020F0502020204030204" charset="-122"/>
              <a:ea typeface="Calibri" panose="020F0502020204030204" charset="-122"/>
              <a:cs typeface="Calibri" panose="020F0502020204030204" charset="-12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900" b="0" i="0" u="none" strike="noStrike" kern="1200" baseline="0">
                    <a:solidFill>
                      <a:srgbClr val="333333">
                        <a:alpha val="100000"/>
                      </a:srgbClr>
                    </a:solidFill>
                    <a:latin typeface="Calibri" panose="020F0502020204030204" charset="-122"/>
                    <a:ea typeface="Calibri" panose="020F0502020204030204" charset="-122"/>
                    <a:cs typeface="Calibri" panose="020F0502020204030204" charset="-122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'[КДР рус яз 11 класс сош6 (1).xls]Форма2'!$I$12:$Z$12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
1 б</c:v>
                </c:pt>
                <c:pt idx="12">
                  <c:v>12
2 б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strCache>
            </c:strRef>
          </c:cat>
          <c:val>
            <c:numRef>
              <c:f>'[КДР рус яз 11 класс сош6 (1).xls]Форма2'!$I$6:$Z$6</c:f>
              <c:numCache>
                <c:formatCode>0.0</c:formatCode>
                <c:ptCount val="18"/>
                <c:pt idx="0">
                  <c:v>100</c:v>
                </c:pt>
                <c:pt idx="1">
                  <c:v>82.978723404255305</c:v>
                </c:pt>
                <c:pt idx="2">
                  <c:v>68.085106382978694</c:v>
                </c:pt>
                <c:pt idx="3">
                  <c:v>97.872340425531902</c:v>
                </c:pt>
                <c:pt idx="4">
                  <c:v>74.468085106383</c:v>
                </c:pt>
                <c:pt idx="5">
                  <c:v>82.978723404255305</c:v>
                </c:pt>
                <c:pt idx="6">
                  <c:v>53.191489361702097</c:v>
                </c:pt>
                <c:pt idx="7">
                  <c:v>38.297872340425499</c:v>
                </c:pt>
                <c:pt idx="8">
                  <c:v>76.595744680851098</c:v>
                </c:pt>
                <c:pt idx="9">
                  <c:v>74.468085106383</c:v>
                </c:pt>
                <c:pt idx="10">
                  <c:v>61.702127659574501</c:v>
                </c:pt>
                <c:pt idx="11">
                  <c:v>36.170212765957501</c:v>
                </c:pt>
                <c:pt idx="12">
                  <c:v>61.702127659574501</c:v>
                </c:pt>
                <c:pt idx="13">
                  <c:v>70.212765957446805</c:v>
                </c:pt>
                <c:pt idx="14">
                  <c:v>65.957446808510596</c:v>
                </c:pt>
                <c:pt idx="15">
                  <c:v>78.723404255319195</c:v>
                </c:pt>
                <c:pt idx="16">
                  <c:v>42.553191489361701</c:v>
                </c:pt>
                <c:pt idx="17">
                  <c:v>74.468085106383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430416"/>
        <c:axId val="148923680"/>
      </c:barChart>
      <c:catAx>
        <c:axId val="148430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-122"/>
                <a:ea typeface="Calibri" panose="020F0502020204030204" charset="-122"/>
                <a:cs typeface="Calibri" panose="020F0502020204030204" charset="-122"/>
              </a:defRPr>
            </a:pPr>
            <a:endParaRPr lang="ru-RU"/>
          </a:p>
        </c:txPr>
        <c:crossAx val="148923680"/>
        <c:crosses val="autoZero"/>
        <c:auto val="1"/>
        <c:lblAlgn val="ctr"/>
        <c:lblOffset val="100"/>
        <c:noMultiLvlLbl val="0"/>
      </c:catAx>
      <c:valAx>
        <c:axId val="14892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333333">
                    <a:alpha val="100000"/>
                  </a:srgbClr>
                </a:solidFill>
                <a:latin typeface="Calibri" panose="020F0502020204030204" charset="-122"/>
                <a:ea typeface="Calibri" panose="020F0502020204030204" charset="-122"/>
                <a:cs typeface="Calibri" panose="020F0502020204030204" charset="-122"/>
              </a:defRPr>
            </a:pPr>
            <a:endParaRPr lang="ru-RU"/>
          </a:p>
        </c:txPr>
        <c:crossAx val="14843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wrap="square" anchor="ctr" anchorCtr="1"/>
    <a:lstStyle/>
    <a:p>
      <a:pPr>
        <a:defRPr lang="en-US" sz="1000" b="0" i="0" u="none" strike="noStrike" baseline="0">
          <a:solidFill>
            <a:srgbClr val="000000">
              <a:alpha val="100000"/>
            </a:srgbClr>
          </a:solidFill>
          <a:latin typeface="Calibri" panose="020F0502020204030204" charset="-122"/>
          <a:ea typeface="Calibri" panose="020F0502020204030204" charset="-122"/>
          <a:cs typeface="Calibri" panose="020F0502020204030204" charset="-12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Меланич 303</cp:lastModifiedBy>
  <cp:revision>2</cp:revision>
  <dcterms:created xsi:type="dcterms:W3CDTF">2019-03-24T10:38:00Z</dcterms:created>
  <dcterms:modified xsi:type="dcterms:W3CDTF">2019-03-25T06:26:00Z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